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In Trusting Hands Services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Cancellation Policy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s an agency we believe we are working with  a team of dedicated providers. For that reason we have a cancellation policy in place. A family can cancel a provider service at any time, but if they cancel with less than 24 hours notice we automatically charge them a cancellation fee equivalent to 2  hours of the provider time.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f the care provider has to cancel without 24 hours notice and we can’t find a replacement  you will not be charged for services. Our cancellation policy helps us to have a pool of providers that is willing and able to work with families and even commit to last minute service requests from our famili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